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D82" w:rsidRDefault="000F1D82" w:rsidP="000F1D82">
      <w:pPr>
        <w:spacing w:line="480" w:lineRule="auto"/>
        <w:ind w:left="3600"/>
        <w:jc w:val="both"/>
        <w:rPr>
          <w:rFonts w:ascii="Times New Roman" w:hAnsi="Times New Roman" w:cs="Times New Roman"/>
          <w:sz w:val="24"/>
          <w:szCs w:val="24"/>
        </w:rPr>
      </w:pPr>
      <w:bookmarkStart w:id="0" w:name="_GoBack"/>
      <w:bookmarkEnd w:id="0"/>
    </w:p>
    <w:p w:rsidR="000F1D82" w:rsidRDefault="000F1D82" w:rsidP="000F1D82">
      <w:pPr>
        <w:spacing w:line="480" w:lineRule="auto"/>
        <w:ind w:left="3600"/>
        <w:jc w:val="both"/>
        <w:rPr>
          <w:rFonts w:ascii="Times New Roman" w:hAnsi="Times New Roman" w:cs="Times New Roman"/>
          <w:sz w:val="24"/>
          <w:szCs w:val="24"/>
        </w:rPr>
      </w:pPr>
    </w:p>
    <w:p w:rsidR="000F1D82" w:rsidRDefault="000F1D82" w:rsidP="000F1D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F1D82" w:rsidRDefault="000F1D82" w:rsidP="000F1D82">
      <w:pPr>
        <w:spacing w:line="480" w:lineRule="auto"/>
        <w:jc w:val="both"/>
        <w:rPr>
          <w:rFonts w:ascii="Times New Roman" w:hAnsi="Times New Roman" w:cs="Times New Roman"/>
          <w:sz w:val="24"/>
          <w:szCs w:val="24"/>
        </w:rPr>
      </w:pPr>
    </w:p>
    <w:p w:rsidR="000F1D82" w:rsidRDefault="000F1D82" w:rsidP="000F1D82">
      <w:pPr>
        <w:spacing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Q</w:t>
      </w:r>
      <w:r w:rsidRPr="000F1D82">
        <w:rPr>
          <w:rFonts w:ascii="Times New Roman" w:hAnsi="Times New Roman" w:cs="Times New Roman"/>
          <w:sz w:val="24"/>
          <w:szCs w:val="24"/>
        </w:rPr>
        <w:t xml:space="preserve">uestions answer assignment     </w:t>
      </w:r>
      <w:r w:rsidRPr="000F1D82">
        <w:t xml:space="preserve">                                                                                   </w:t>
      </w:r>
    </w:p>
    <w:p w:rsidR="000F1D82" w:rsidRDefault="000F1D82" w:rsidP="000F1D82">
      <w:pPr>
        <w:spacing w:line="480" w:lineRule="auto"/>
        <w:ind w:left="3600"/>
        <w:jc w:val="both"/>
        <w:rPr>
          <w:rFonts w:ascii="Times New Roman" w:hAnsi="Times New Roman" w:cs="Times New Roman"/>
          <w:sz w:val="24"/>
          <w:szCs w:val="24"/>
        </w:rPr>
      </w:pPr>
      <w:r>
        <w:rPr>
          <w:rFonts w:ascii="Times New Roman" w:hAnsi="Times New Roman" w:cs="Times New Roman"/>
          <w:sz w:val="24"/>
          <w:szCs w:val="24"/>
        </w:rPr>
        <w:t>Chapter questions</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Student’s Name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Instructor’s Name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Course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Date of Submission</w:t>
      </w: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lastRenderedPageBreak/>
        <w:t>Q1 Chapter 13</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The symptoms highlighted in this case indicate a diagnosis of muscular dystrophy. In this case, muscular dystrophy refers to a group of more than 30 genetic disorders that are characterized by degeneration and weakness of the skeletal muscles controlling the movement. Some types of muscular dystrophy appear in childhood or infancy while many others are seen until the middle age or even later. The disorders, in this case, differ in terms of the way they are distributed, the extent of the muscle weakness, the age of onset, rate and the pattern of progression. The Duchene muscular dystrophy is the commonest and most preferably affects the male children. It is caused by the lack of the protein dystrophin that is involved in the maintenance of muscular integrity. The onset mostly happens between 3 to 5 years and progresses very fast and hence most are unable to walk by 12 years and later have a poor respiratory function. The girls in these families affected have a fifty percent chance of passing or inheriting the defective genes to their generations or kids (</w:t>
      </w:r>
      <w:r w:rsidRPr="00055CB2">
        <w:rPr>
          <w:rFonts w:ascii="Times New Roman" w:eastAsia="Arial Unicode MS" w:hAnsi="Times New Roman" w:cs="Times New Roman"/>
          <w:color w:val="000000"/>
          <w:sz w:val="24"/>
          <w:szCs w:val="24"/>
          <w:shd w:val="clear" w:color="auto" w:fill="FFFFFF"/>
        </w:rPr>
        <w:t>Emery, 2000)</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The prognosis of children suffering from muscular dystrophy varies depending on the type of progression of the disorder. In this case, some cases may be mild and progress very slowly over normal lifespan while others show severe muscle weaknesses, loss of ability to walk, and even functional disability. Some children suffering from muscle dystrophies may die in infancy while others live to see adulthood with moderate disability evident. The case referred here shows a severe form of the muscular dystrophy has affected the functionality of the child through delays in the growth of the bone structure, the abnormality of the skeletal development in general, the restricted joint movement, the invasion of the liver and spleen, the eyes, stiff clawed shaped hands, and the recurrent respiratory infections . This is a case of poor prognosis from the disease. </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lastRenderedPageBreak/>
        <w:t>The key enzyme found in this condition is the creatine kinase. The mitochondria are the main resident for the creatine kinase enzyme. The creatine kinase is an enzyme that has various functions in cellular energy production and metabolism. It acts as a catalyst in the reversible transfer of high energy phosphate from the ATP to the creatine and hence facilitating the storage of energy in the form of phosphocreatine (</w:t>
      </w:r>
      <w:r w:rsidRPr="00055CB2">
        <w:rPr>
          <w:rFonts w:ascii="Times New Roman" w:eastAsia="Arial Unicode MS" w:hAnsi="Times New Roman" w:cs="Times New Roman"/>
          <w:color w:val="000000"/>
          <w:sz w:val="24"/>
          <w:szCs w:val="24"/>
          <w:shd w:val="clear" w:color="auto" w:fill="FFFFFF"/>
        </w:rPr>
        <w:t>Emery, 2000)</w:t>
      </w:r>
      <w:r w:rsidRPr="00055CB2">
        <w:rPr>
          <w:rFonts w:ascii="Times New Roman" w:hAnsi="Times New Roman" w:cs="Times New Roman"/>
          <w:sz w:val="24"/>
          <w:szCs w:val="24"/>
        </w:rPr>
        <w:t xml:space="preserve">. </w:t>
      </w:r>
    </w:p>
    <w:p w:rsidR="00D67170"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Creatine kinase (CK) isoenzymes catalyze the reversible transfer of the phosphate group of phosphocreatine (PCR) to ADP, to yield ATP and creatine (Cr). The CK/</w:t>
      </w:r>
      <w:proofErr w:type="spellStart"/>
      <w:r w:rsidRPr="00055CB2">
        <w:rPr>
          <w:rFonts w:ascii="Times New Roman" w:hAnsi="Times New Roman" w:cs="Times New Roman"/>
          <w:sz w:val="24"/>
          <w:szCs w:val="24"/>
        </w:rPr>
        <w:t>PCr</w:t>
      </w:r>
      <w:proofErr w:type="spellEnd"/>
      <w:r w:rsidRPr="00055CB2">
        <w:rPr>
          <w:rFonts w:ascii="Times New Roman" w:hAnsi="Times New Roman" w:cs="Times New Roman"/>
          <w:sz w:val="24"/>
          <w:szCs w:val="24"/>
        </w:rPr>
        <w:t>/Cr system is present primarily in tissues with high and fluctuating energy demands such as the brain, heart, and skeletal muscle, and serves as a temporal and spatial "energy buffer" that helps to maintain a high intracellular phosphorylation potential in situations of increased metabolic demand. Due to this increased metabolic demand, the resultant effect is the enlargement of the liver and the spleen (</w:t>
      </w:r>
      <w:r w:rsidRPr="00055CB2">
        <w:rPr>
          <w:rFonts w:ascii="Times New Roman" w:eastAsia="Arial Unicode MS" w:hAnsi="Times New Roman" w:cs="Times New Roman"/>
          <w:color w:val="000000"/>
          <w:sz w:val="24"/>
          <w:szCs w:val="24"/>
          <w:shd w:val="clear" w:color="auto" w:fill="FFFFFF"/>
        </w:rPr>
        <w:t>Emery, 2000)</w:t>
      </w:r>
      <w:r w:rsidRPr="00055CB2">
        <w:rPr>
          <w:rFonts w:ascii="Times New Roman" w:hAnsi="Times New Roman" w:cs="Times New Roman"/>
          <w:sz w:val="24"/>
          <w:szCs w:val="24"/>
        </w:rPr>
        <w:t>.</w:t>
      </w:r>
    </w:p>
    <w:p w:rsidR="00BA4A98" w:rsidRPr="00055CB2" w:rsidRDefault="00BA4A98" w:rsidP="00D67170">
      <w:pPr>
        <w:spacing w:line="480" w:lineRule="auto"/>
        <w:jc w:val="both"/>
        <w:rPr>
          <w:rFonts w:ascii="Times New Roman" w:hAnsi="Times New Roman" w:cs="Times New Roman"/>
          <w:sz w:val="24"/>
          <w:szCs w:val="24"/>
        </w:rPr>
      </w:pPr>
      <w:r>
        <w:rPr>
          <w:noProof/>
        </w:rPr>
        <w:drawing>
          <wp:inline distT="0" distB="0" distL="0" distR="0" wp14:anchorId="2D08CAD8" wp14:editId="3CA2BF9E">
            <wp:extent cx="4591050" cy="2047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591050" cy="2047875"/>
                    </a:xfrm>
                    <a:prstGeom prst="rect">
                      <a:avLst/>
                    </a:prstGeom>
                  </pic:spPr>
                </pic:pic>
              </a:graphicData>
            </a:graphic>
          </wp:inline>
        </w:drawing>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Western blot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10 muscle sections (10 microns) are solubilized in 400 ml lysis buffer on </w:t>
      </w:r>
      <w:proofErr w:type="spellStart"/>
      <w:r w:rsidRPr="00055CB2">
        <w:rPr>
          <w:rFonts w:ascii="Times New Roman" w:hAnsi="Times New Roman" w:cs="Times New Roman"/>
          <w:sz w:val="24"/>
          <w:szCs w:val="24"/>
        </w:rPr>
        <w:t>Tissuelyzer</w:t>
      </w:r>
      <w:proofErr w:type="spellEnd"/>
      <w:r w:rsidRPr="00055CB2">
        <w:rPr>
          <w:rFonts w:ascii="Times New Roman" w:hAnsi="Times New Roman" w:cs="Times New Roman"/>
          <w:sz w:val="24"/>
          <w:szCs w:val="24"/>
        </w:rPr>
        <w:t xml:space="preserve"> II (30 s X 3), 4.4 mM Tris, pH, 9% SDS, 4% glycerol, 5% b-</w:t>
      </w:r>
      <w:proofErr w:type="spellStart"/>
      <w:r w:rsidRPr="00055CB2">
        <w:rPr>
          <w:rFonts w:ascii="Times New Roman" w:hAnsi="Times New Roman" w:cs="Times New Roman"/>
          <w:sz w:val="24"/>
          <w:szCs w:val="24"/>
        </w:rPr>
        <w:t>Mercaptoethanol</w:t>
      </w:r>
      <w:proofErr w:type="spellEnd"/>
      <w:r w:rsidRPr="00055CB2">
        <w:rPr>
          <w:rFonts w:ascii="Times New Roman" w:hAnsi="Times New Roman" w:cs="Times New Roman"/>
          <w:sz w:val="24"/>
          <w:szCs w:val="24"/>
        </w:rPr>
        <w:t xml:space="preserve">), 25 mg total protein 2–8% Tris-Acetate precast gel (Invitrogen), Run at 30 V (constant) for 5 h and 30 min, at which time </w:t>
      </w:r>
      <w:r w:rsidRPr="00055CB2">
        <w:rPr>
          <w:rFonts w:ascii="Times New Roman" w:hAnsi="Times New Roman" w:cs="Times New Roman"/>
          <w:sz w:val="24"/>
          <w:szCs w:val="24"/>
        </w:rPr>
        <w:lastRenderedPageBreak/>
        <w:t xml:space="preserve">the voltage was increased to 100 V for 1 hour, Transfer to nitrocellulose at 300 </w:t>
      </w:r>
      <w:proofErr w:type="spellStart"/>
      <w:r w:rsidRPr="00055CB2">
        <w:rPr>
          <w:rFonts w:ascii="Times New Roman" w:hAnsi="Times New Roman" w:cs="Times New Roman"/>
          <w:sz w:val="24"/>
          <w:szCs w:val="24"/>
        </w:rPr>
        <w:t>mAmps</w:t>
      </w:r>
      <w:proofErr w:type="spellEnd"/>
      <w:r w:rsidRPr="00055CB2">
        <w:rPr>
          <w:rFonts w:ascii="Times New Roman" w:hAnsi="Times New Roman" w:cs="Times New Roman"/>
          <w:sz w:val="24"/>
          <w:szCs w:val="24"/>
        </w:rPr>
        <w:t xml:space="preserve"> for 18 h at 4°C, Blocked in 5% non-fat dry milk diluted in TBST (0.1% Tween20) for 1.5 h at room temperature, Primary antibodies for 19 hours at 4 deg C: dystrophin (Ab15277) at 1 mg/ml, Pan-actin (</w:t>
      </w:r>
      <w:proofErr w:type="spellStart"/>
      <w:r w:rsidRPr="00055CB2">
        <w:rPr>
          <w:rFonts w:ascii="Times New Roman" w:hAnsi="Times New Roman" w:cs="Times New Roman"/>
          <w:sz w:val="24"/>
          <w:szCs w:val="24"/>
        </w:rPr>
        <w:t>Neomarkers</w:t>
      </w:r>
      <w:proofErr w:type="spellEnd"/>
      <w:r w:rsidRPr="00055CB2">
        <w:rPr>
          <w:rFonts w:ascii="Times New Roman" w:hAnsi="Times New Roman" w:cs="Times New Roman"/>
          <w:sz w:val="24"/>
          <w:szCs w:val="24"/>
        </w:rPr>
        <w:t xml:space="preserve">, Kalamazoo, Michigan, USA) at 0.5 mg/ml) for 19 h at 4°, Room temp incubation for 30 min with the HRP-conjugated secondary antibodies: Goat anti-rabbit (1:15000), Goat anti-mouse IgG (H+L) (1:500000), </w:t>
      </w:r>
      <w:proofErr w:type="spellStart"/>
      <w:r w:rsidRPr="00055CB2">
        <w:rPr>
          <w:rFonts w:ascii="Times New Roman" w:hAnsi="Times New Roman" w:cs="Times New Roman"/>
          <w:sz w:val="24"/>
          <w:szCs w:val="24"/>
        </w:rPr>
        <w:t>SuperSignal</w:t>
      </w:r>
      <w:proofErr w:type="spellEnd"/>
      <w:r w:rsidRPr="00055CB2">
        <w:rPr>
          <w:rFonts w:ascii="Times New Roman" w:hAnsi="Times New Roman" w:cs="Times New Roman"/>
          <w:sz w:val="24"/>
          <w:szCs w:val="24"/>
        </w:rPr>
        <w:t xml:space="preserve"> West </w:t>
      </w:r>
      <w:proofErr w:type="spellStart"/>
      <w:r w:rsidRPr="00055CB2">
        <w:rPr>
          <w:rFonts w:ascii="Times New Roman" w:hAnsi="Times New Roman" w:cs="Times New Roman"/>
          <w:sz w:val="24"/>
          <w:szCs w:val="24"/>
        </w:rPr>
        <w:t>Femto</w:t>
      </w:r>
      <w:proofErr w:type="spellEnd"/>
      <w:r w:rsidRPr="00055CB2">
        <w:rPr>
          <w:rFonts w:ascii="Times New Roman" w:hAnsi="Times New Roman" w:cs="Times New Roman"/>
          <w:sz w:val="24"/>
          <w:szCs w:val="24"/>
        </w:rPr>
        <w:t xml:space="preserve"> Maximum Sensitive Substrate (Thermo Scientific) on Kodak </w:t>
      </w:r>
      <w:proofErr w:type="spellStart"/>
      <w:r w:rsidRPr="00055CB2">
        <w:rPr>
          <w:rFonts w:ascii="Times New Roman" w:hAnsi="Times New Roman" w:cs="Times New Roman"/>
          <w:sz w:val="24"/>
          <w:szCs w:val="24"/>
        </w:rPr>
        <w:t>Biomax</w:t>
      </w:r>
      <w:proofErr w:type="spellEnd"/>
      <w:r w:rsidRPr="00055CB2">
        <w:rPr>
          <w:rFonts w:ascii="Times New Roman" w:hAnsi="Times New Roman" w:cs="Times New Roman"/>
          <w:sz w:val="24"/>
          <w:szCs w:val="24"/>
        </w:rPr>
        <w:t xml:space="preserve"> Light film • Bands quantified using the ImageJ gel </w:t>
      </w:r>
      <w:proofErr w:type="spellStart"/>
      <w:r w:rsidRPr="00055CB2">
        <w:rPr>
          <w:rFonts w:ascii="Times New Roman" w:hAnsi="Times New Roman" w:cs="Times New Roman"/>
          <w:sz w:val="24"/>
          <w:szCs w:val="24"/>
        </w:rPr>
        <w:t>analyser</w:t>
      </w:r>
      <w:proofErr w:type="spellEnd"/>
      <w:r w:rsidRPr="00055CB2">
        <w:rPr>
          <w:rFonts w:ascii="Times New Roman" w:hAnsi="Times New Roman" w:cs="Times New Roman"/>
          <w:sz w:val="24"/>
          <w:szCs w:val="24"/>
        </w:rPr>
        <w:t xml:space="preserve"> function, Dystrophin band intensity was normalized to pan-actin in each lane, Expressed as a percentage of the control specimen dystrophin signal</w:t>
      </w:r>
      <w:r w:rsidR="00291F00" w:rsidRPr="00055CB2">
        <w:rPr>
          <w:rFonts w:ascii="Times New Roman" w:hAnsi="Times New Roman" w:cs="Times New Roman"/>
          <w:sz w:val="24"/>
          <w:szCs w:val="24"/>
        </w:rPr>
        <w:t xml:space="preserve"> (</w:t>
      </w:r>
      <w:r w:rsidR="00291F00" w:rsidRPr="00055CB2">
        <w:rPr>
          <w:rFonts w:ascii="Times New Roman" w:eastAsia="Arial Unicode MS" w:hAnsi="Times New Roman" w:cs="Times New Roman"/>
          <w:color w:val="000000"/>
          <w:sz w:val="24"/>
          <w:szCs w:val="24"/>
          <w:shd w:val="clear" w:color="auto" w:fill="FFFFFF"/>
        </w:rPr>
        <w:t xml:space="preserve">In </w:t>
      </w:r>
      <w:proofErr w:type="spellStart"/>
      <w:r w:rsidR="00291F00" w:rsidRPr="00055CB2">
        <w:rPr>
          <w:rFonts w:ascii="Times New Roman" w:eastAsia="Arial Unicode MS" w:hAnsi="Times New Roman" w:cs="Times New Roman"/>
          <w:color w:val="000000"/>
          <w:sz w:val="24"/>
          <w:szCs w:val="24"/>
          <w:shd w:val="clear" w:color="auto" w:fill="FFFFFF"/>
        </w:rPr>
        <w:t>Kurien</w:t>
      </w:r>
      <w:proofErr w:type="spellEnd"/>
      <w:r w:rsidR="00291F00" w:rsidRPr="00055CB2">
        <w:rPr>
          <w:rFonts w:ascii="Times New Roman" w:eastAsia="Arial Unicode MS" w:hAnsi="Times New Roman" w:cs="Times New Roman"/>
          <w:color w:val="000000"/>
          <w:sz w:val="24"/>
          <w:szCs w:val="24"/>
          <w:shd w:val="clear" w:color="auto" w:fill="FFFFFF"/>
        </w:rPr>
        <w:t>, B. T., &amp; In Scofield, 2015). </w:t>
      </w:r>
      <w:r w:rsidRPr="00055CB2">
        <w:rPr>
          <w:rFonts w:ascii="Times New Roman" w:hAnsi="Times New Roman" w:cs="Times New Roman"/>
          <w:sz w:val="24"/>
          <w:szCs w:val="24"/>
        </w:rPr>
        <w:t xml:space="preserve">. </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Q2 Chapter 11</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Various models and mechanisms alter synaptic transmission following research is done to examine the presynaptic component of transmitter release. In this case, the first model is the APP/PSI transgenic mouse model of Alzheimer’s disease. the APP/PSI mouse model of Alzheimer’s disease exhibits a remarkable elevation of the beta-amyloid production that is linked with certain behavioral abnormalities, while the senescence-accelerated mouse prone 8 (SAMP8) is characterized by early and age-related deterioration of the learning and memory. The model of Na, K-ATPase hypothesis of the bipolar disorder proposes that manic symptoms are related to the modest decrease I the Na, K pump activity and the subsequent increase in the neuronal excitability whereas the bipolar depression inconsequent to a big increase in the pump activity and resultant decrease in neurotransmitter release</w:t>
      </w:r>
      <w:r w:rsidR="003C5D69" w:rsidRPr="00055CB2">
        <w:rPr>
          <w:rFonts w:ascii="Times New Roman" w:hAnsi="Times New Roman" w:cs="Times New Roman"/>
          <w:sz w:val="24"/>
          <w:szCs w:val="24"/>
        </w:rPr>
        <w:t xml:space="preserve"> (</w:t>
      </w:r>
      <w:r w:rsidR="003C5D69"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xml:space="preserve">. Changes in particle transport and dispersion with age may offer a clarification for clinical perceptions of formative varieties in lithium reaction, including the clear age-related decrease in maximal toxic lithium level, decrease </w:t>
      </w:r>
      <w:r w:rsidRPr="00055CB2">
        <w:rPr>
          <w:rFonts w:ascii="Times New Roman" w:hAnsi="Times New Roman" w:cs="Times New Roman"/>
          <w:sz w:val="24"/>
          <w:szCs w:val="24"/>
        </w:rPr>
        <w:lastRenderedPageBreak/>
        <w:t>in remedial blood level range, and maybe an expansion in the restorative viability of lithium. The clinical ramifications of the speculation in regards to the course of the bipolar issue would incorporate clarification of the expanding recurrence and seriousness of scenes with propelling age. The speculation makes various expectations that are testable and proposes new roads of pharmacological intercession</w:t>
      </w:r>
      <w:r w:rsidR="003C5D69" w:rsidRPr="00055CB2">
        <w:rPr>
          <w:rFonts w:ascii="Times New Roman" w:hAnsi="Times New Roman" w:cs="Times New Roman"/>
          <w:sz w:val="24"/>
          <w:szCs w:val="24"/>
        </w:rPr>
        <w:t xml:space="preserve"> (</w:t>
      </w:r>
      <w:r w:rsidR="003C5D69"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The Na+ and K+ and Ca+ play an essential role in the neuronal signaling due to the conduction of the activity of the neurons and therefore control the neuron excitability maintained by the ionic environment. The Na/K-ATPase consists of at least two mandatory and essential subunits the alpha and beta subunits. In this case, both the isoforms of the subunits are expressed in human cells in a tissue-specific manner. In the brain tissue, the alpha subunit is maintaining glial cells the astrocytes, and the loss of function of the Na/K-ATPase may result in neuronal hyperexcitability</w:t>
      </w:r>
      <w:r w:rsidR="0024735D" w:rsidRPr="00055CB2">
        <w:rPr>
          <w:rFonts w:ascii="Times New Roman" w:hAnsi="Times New Roman" w:cs="Times New Roman"/>
          <w:sz w:val="24"/>
          <w:szCs w:val="24"/>
        </w:rPr>
        <w:t xml:space="preserve"> (</w:t>
      </w:r>
      <w:r w:rsidR="0024735D"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xml:space="preserve">. In this case, the pump maintains a gradient of the Na+ and the K+ ions that depends on these gradients.  In patients experiencing a hereditarily acquired </w:t>
      </w:r>
      <w:proofErr w:type="spellStart"/>
      <w:r w:rsidRPr="00055CB2">
        <w:rPr>
          <w:rFonts w:ascii="Times New Roman" w:hAnsi="Times New Roman" w:cs="Times New Roman"/>
          <w:sz w:val="24"/>
          <w:szCs w:val="24"/>
        </w:rPr>
        <w:t>subform</w:t>
      </w:r>
      <w:proofErr w:type="spellEnd"/>
      <w:r w:rsidRPr="00055CB2">
        <w:rPr>
          <w:rFonts w:ascii="Times New Roman" w:hAnsi="Times New Roman" w:cs="Times New Roman"/>
          <w:sz w:val="24"/>
          <w:szCs w:val="24"/>
        </w:rPr>
        <w:t xml:space="preserve"> of migraine with emanation (familial hemiplegic headache), transformations of the ATP1A2 quality which codes for the α2-subunit of the Na+/K+-ATPase, have been distinguished. The functional analysis of the human Na+/K+ -ATPase familial or sporadic hemiplegic migraine mutations expressed in Xenopus oocytes justifies the hypothesis of Na+/K+ ATPase in the development of chronic synaptic fatigue</w:t>
      </w:r>
      <w:r w:rsidR="0024735D" w:rsidRPr="00055CB2">
        <w:rPr>
          <w:rFonts w:ascii="Times New Roman" w:hAnsi="Times New Roman" w:cs="Times New Roman"/>
          <w:sz w:val="24"/>
          <w:szCs w:val="24"/>
        </w:rPr>
        <w:t xml:space="preserve"> (</w:t>
      </w:r>
      <w:r w:rsidR="0024735D"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Q3 Chapter 11</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The mutations in the SCN1A, the gene that encodes the alpha subunit of the voltage-gated Na+ channel Nav1.1 can cause disorders such as epilepsy. In this case, the mutation of these genes alters the ability of the sodium channel to reach a maximum positive membrane potential of +50 </w:t>
      </w:r>
      <w:r w:rsidRPr="00055CB2">
        <w:rPr>
          <w:rFonts w:ascii="Times New Roman" w:hAnsi="Times New Roman" w:cs="Times New Roman"/>
          <w:sz w:val="24"/>
          <w:szCs w:val="24"/>
        </w:rPr>
        <w:lastRenderedPageBreak/>
        <w:t>mV in 0.5 seconds. The SCN1A mutation predominantly impairs the Na+ channel activity in the interneurons and hence leading to decreased inhibition. The decreased inhibition may be the main reason behind the SCN1A derived disorders</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The voltage-gated Na+ channel (VGSC) gene family encompasses of homogenous members SCN1A to SCN11A that encode the sodium selective ion channels nav1.1 to nav1.9. the alpha subunit associated with the beta subunit hence modulating the channel biophysics and the trafficking. At resting membrane potentials, the VGSCs remain closed requiring depolarization for activation. Once activated, they contribute or lead to the upstroke of the action potential in excitable cells. The opening of channels leads to an influx of the Na+ ions into the cell and further the depolarization of the membrane potential towards the equilibrium of the sodium potential. In many neurons, the inactivation of the VGSCs remains incomplete and hence resulting in a small persistent Na+ current that inactivates with time. The mutation of the SCN1A genes leads to persistent NA+ current leading o hyperpolarization and hence delaying the next wave of depolarization. The hyperpolarized voltage dependence of the activation of persistent sodium currents allows the channels to operate as amplifiers of threshold membrane potentials with low K+ channel activation</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Adding acetylcholine to bind and open the acetylcholine gated cation channel at the synapse alters the action potential generated by the adjacent mutated voltage-gated Na+ channels to normal maximum potential of +50 mV at 0.5 </w:t>
      </w:r>
      <w:proofErr w:type="spellStart"/>
      <w:r w:rsidRPr="00055CB2">
        <w:rPr>
          <w:rFonts w:ascii="Times New Roman" w:hAnsi="Times New Roman" w:cs="Times New Roman"/>
          <w:sz w:val="24"/>
          <w:szCs w:val="24"/>
        </w:rPr>
        <w:t>ms.</w:t>
      </w:r>
      <w:proofErr w:type="spellEnd"/>
      <w:r w:rsidRPr="00055CB2">
        <w:rPr>
          <w:rFonts w:ascii="Times New Roman" w:hAnsi="Times New Roman" w:cs="Times New Roman"/>
          <w:sz w:val="24"/>
          <w:szCs w:val="24"/>
        </w:rPr>
        <w:t xml:space="preserve"> In this case, acetylcholine is a neurotransmitter that is released by the motor neurons binding to the receptors in the motor endplate. Its release occurs when action potentials travel down the motor neuron axon and hence resulting in the permeability of the synaptic terminal membrane and an influx of calcium. As the neurotransmitter binds with the acetylcholine receptors, the ion channels open, and Na+ ions </w:t>
      </w:r>
      <w:r w:rsidRPr="00055CB2">
        <w:rPr>
          <w:rFonts w:ascii="Times New Roman" w:hAnsi="Times New Roman" w:cs="Times New Roman"/>
          <w:sz w:val="24"/>
          <w:szCs w:val="24"/>
        </w:rPr>
        <w:lastRenderedPageBreak/>
        <w:t>cross the membrane into the muscle cell. As this happens there is a reduction of the voltage difference between the outside and inside of the cell, referred to as depolarization. As the acetylcholine binding occurs at the motor endplate, this depolarization is called the action potential. In this case, the depolarization spreads along the sarcolemma and hence creating an action potential, as Na+ channels adjacent to the initial depolarization site sense the change in voltage and open</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xml:space="preserve">.  </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Q4 Chapter 16</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Adenosine triphosphate (ATP) is a complex organic chemical that provides energy to drive many processes in living cells such as muscle contraction, nerve impulses propagation, and even chemical synthesis. The ATP has two major functions in the muscle contraction and the skeletal muscles must continuously make the ATP provide the energy for the muscle contraction. First, the ATP binds to the myosin ends and upon the hydrolysis into ADP and Pi, transfers its energy to the cross-bridge area and hence hydrolyzing it. Secondly, it is responsible for the disconnection of the myosin cross-bridge at the end of the power stroke. Additionally, the ATP gives energy for the Ca+ ion pump that actively transports Ca+ ion back into the sarcoplasmic reticulum</w:t>
      </w:r>
      <w:r w:rsidR="00906251">
        <w:rPr>
          <w:rFonts w:ascii="Times New Roman" w:hAnsi="Times New Roman" w:cs="Times New Roman"/>
          <w:sz w:val="24"/>
          <w:szCs w:val="24"/>
        </w:rPr>
        <w:t xml:space="preserve"> (</w:t>
      </w:r>
      <w:proofErr w:type="spellStart"/>
      <w:r w:rsidR="00906251">
        <w:rPr>
          <w:rFonts w:ascii="Times New Roman" w:eastAsia="Arial Unicode MS" w:hAnsi="Times New Roman" w:cs="Times New Roman"/>
          <w:color w:val="000000"/>
          <w:sz w:val="24"/>
          <w:szCs w:val="24"/>
          <w:shd w:val="clear" w:color="auto" w:fill="FFFFFF"/>
        </w:rPr>
        <w:t>Zedalis</w:t>
      </w:r>
      <w:proofErr w:type="spellEnd"/>
      <w:r w:rsidR="00906251">
        <w:rPr>
          <w:rFonts w:ascii="Times New Roman" w:eastAsia="Arial Unicode MS" w:hAnsi="Times New Roman" w:cs="Times New Roman"/>
          <w:color w:val="000000"/>
          <w:sz w:val="24"/>
          <w:szCs w:val="24"/>
          <w:shd w:val="clear" w:color="auto" w:fill="FFFFFF"/>
        </w:rPr>
        <w:t xml:space="preserve"> et al, 2017)</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The ATP prepares the myosin for binding with the actin by moving it at a higher energy state and a cocked position. ATP binding causes myosin to release actin and hence allowing the actin and myosin to detach from each other. After this happens, the ATP is converted to ADP and inorganic phosphate and the enzyme at the binding is called the ATPase. Adding nonhydrolyzable ATP blocks the myosin movement beyond this point. In this case, ATP </w:t>
      </w:r>
      <w:r w:rsidRPr="00055CB2">
        <w:rPr>
          <w:rFonts w:ascii="Times New Roman" w:hAnsi="Times New Roman" w:cs="Times New Roman"/>
          <w:sz w:val="24"/>
          <w:szCs w:val="24"/>
        </w:rPr>
        <w:lastRenderedPageBreak/>
        <w:t>hydrolysis changes the angle of the myosin head to a cocked up position and hence it remains at this state of high energy configuration with the ATP hydrolyzed</w:t>
      </w:r>
      <w:r w:rsidR="00906251">
        <w:rPr>
          <w:rFonts w:ascii="Times New Roman" w:hAnsi="Times New Roman" w:cs="Times New Roman"/>
          <w:sz w:val="24"/>
          <w:szCs w:val="24"/>
        </w:rPr>
        <w:t xml:space="preserve"> (</w:t>
      </w:r>
      <w:proofErr w:type="spellStart"/>
      <w:r w:rsidR="00906251">
        <w:rPr>
          <w:rFonts w:ascii="Times New Roman" w:eastAsia="Arial Unicode MS" w:hAnsi="Times New Roman" w:cs="Times New Roman"/>
          <w:color w:val="000000"/>
          <w:sz w:val="24"/>
          <w:szCs w:val="24"/>
          <w:shd w:val="clear" w:color="auto" w:fill="FFFFFF"/>
        </w:rPr>
        <w:t>Zedalis</w:t>
      </w:r>
      <w:proofErr w:type="spellEnd"/>
      <w:r w:rsidR="00906251">
        <w:rPr>
          <w:rFonts w:ascii="Times New Roman" w:eastAsia="Arial Unicode MS" w:hAnsi="Times New Roman" w:cs="Times New Roman"/>
          <w:color w:val="000000"/>
          <w:sz w:val="24"/>
          <w:szCs w:val="24"/>
          <w:shd w:val="clear" w:color="auto" w:fill="FFFFFF"/>
        </w:rPr>
        <w:t xml:space="preserve"> et al, 2017)</w:t>
      </w:r>
      <w:r w:rsidRPr="00055CB2">
        <w:rPr>
          <w:rFonts w:ascii="Times New Roman" w:hAnsi="Times New Roman" w:cs="Times New Roman"/>
          <w:sz w:val="24"/>
          <w:szCs w:val="24"/>
        </w:rPr>
        <w:t>.</w:t>
      </w:r>
    </w:p>
    <w:p w:rsidR="005B323E"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Both the myosin and the kinesin hydrolyze ATP at various points in their mechanical cycles. The kinesin is bound to microtubules while myosin in microfilaments. In this case, using non-hydrolysable ATP impairs both the activity of kinesin and myosin. This is because; the motor proteins use the energy of the ATP hydrolysis to move along the microtubules or the actin filaments.</w:t>
      </w: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References</w:t>
      </w:r>
    </w:p>
    <w:p w:rsidR="00D67170" w:rsidRPr="00055CB2" w:rsidRDefault="00D67170" w:rsidP="00D67170">
      <w:pPr>
        <w:spacing w:line="480" w:lineRule="auto"/>
        <w:jc w:val="both"/>
        <w:rPr>
          <w:rFonts w:ascii="Times New Roman" w:eastAsia="Arial Unicode MS" w:hAnsi="Times New Roman" w:cs="Times New Roman"/>
          <w:color w:val="000000"/>
          <w:sz w:val="24"/>
          <w:szCs w:val="24"/>
          <w:shd w:val="clear" w:color="auto" w:fill="FFFFFF"/>
        </w:rPr>
      </w:pPr>
      <w:r w:rsidRPr="00055CB2">
        <w:rPr>
          <w:rFonts w:ascii="Times New Roman" w:eastAsia="Arial Unicode MS" w:hAnsi="Times New Roman" w:cs="Times New Roman"/>
          <w:color w:val="000000"/>
          <w:sz w:val="24"/>
          <w:szCs w:val="24"/>
          <w:shd w:val="clear" w:color="auto" w:fill="FFFFFF"/>
        </w:rPr>
        <w:t>Emery, A. E. H. (2000). </w:t>
      </w:r>
      <w:r w:rsidRPr="00055CB2">
        <w:rPr>
          <w:rFonts w:ascii="Times New Roman" w:eastAsia="Arial Unicode MS" w:hAnsi="Times New Roman" w:cs="Times New Roman"/>
          <w:i/>
          <w:iCs/>
          <w:color w:val="000000"/>
          <w:sz w:val="24"/>
          <w:szCs w:val="24"/>
          <w:shd w:val="clear" w:color="auto" w:fill="FFFFFF"/>
        </w:rPr>
        <w:t>Muscular dystrophy, the facts</w:t>
      </w:r>
      <w:r w:rsidRPr="00055CB2">
        <w:rPr>
          <w:rFonts w:ascii="Times New Roman" w:eastAsia="Arial Unicode MS" w:hAnsi="Times New Roman" w:cs="Times New Roman"/>
          <w:color w:val="000000"/>
          <w:sz w:val="24"/>
          <w:szCs w:val="24"/>
          <w:shd w:val="clear" w:color="auto" w:fill="FFFFFF"/>
        </w:rPr>
        <w:t>. Oxford: Oxford University Press.</w:t>
      </w:r>
    </w:p>
    <w:p w:rsidR="00D67170" w:rsidRPr="00055CB2" w:rsidRDefault="00D67170" w:rsidP="00D67170">
      <w:pPr>
        <w:spacing w:line="480" w:lineRule="auto"/>
        <w:jc w:val="both"/>
        <w:rPr>
          <w:rFonts w:ascii="Times New Roman" w:eastAsia="Arial Unicode MS" w:hAnsi="Times New Roman" w:cs="Times New Roman"/>
          <w:color w:val="000000"/>
          <w:sz w:val="24"/>
          <w:szCs w:val="24"/>
          <w:shd w:val="clear" w:color="auto" w:fill="FFFFFF"/>
        </w:rPr>
      </w:pPr>
      <w:r w:rsidRPr="00055CB2">
        <w:rPr>
          <w:rFonts w:ascii="Times New Roman" w:eastAsia="Arial Unicode MS" w:hAnsi="Times New Roman" w:cs="Times New Roman"/>
          <w:color w:val="000000"/>
          <w:sz w:val="24"/>
          <w:szCs w:val="24"/>
          <w:shd w:val="clear" w:color="auto" w:fill="FFFFFF"/>
        </w:rPr>
        <w:t>In Ruben, P. (2014). </w:t>
      </w:r>
      <w:r w:rsidRPr="00055CB2">
        <w:rPr>
          <w:rFonts w:ascii="Times New Roman" w:eastAsia="Arial Unicode MS" w:hAnsi="Times New Roman" w:cs="Times New Roman"/>
          <w:i/>
          <w:iCs/>
          <w:color w:val="000000"/>
          <w:sz w:val="24"/>
          <w:szCs w:val="24"/>
          <w:shd w:val="clear" w:color="auto" w:fill="FFFFFF"/>
        </w:rPr>
        <w:t>Voltage gated sodium channels</w:t>
      </w:r>
      <w:r w:rsidRPr="00055CB2">
        <w:rPr>
          <w:rFonts w:ascii="Times New Roman" w:eastAsia="Arial Unicode MS" w:hAnsi="Times New Roman" w:cs="Times New Roman"/>
          <w:color w:val="000000"/>
          <w:sz w:val="24"/>
          <w:szCs w:val="24"/>
          <w:shd w:val="clear" w:color="auto" w:fill="FFFFFF"/>
        </w:rPr>
        <w:t>.</w:t>
      </w:r>
    </w:p>
    <w:p w:rsidR="00D67170" w:rsidRPr="00055CB2" w:rsidRDefault="00055CB2" w:rsidP="00D67170">
      <w:pPr>
        <w:spacing w:line="480" w:lineRule="auto"/>
        <w:jc w:val="both"/>
        <w:rPr>
          <w:rFonts w:ascii="Times New Roman" w:eastAsia="Arial Unicode MS" w:hAnsi="Times New Roman" w:cs="Times New Roman"/>
          <w:color w:val="000000"/>
          <w:sz w:val="24"/>
          <w:szCs w:val="24"/>
          <w:shd w:val="clear" w:color="auto" w:fill="FFFFFF"/>
        </w:rPr>
      </w:pPr>
      <w:proofErr w:type="spellStart"/>
      <w:r w:rsidRPr="00055CB2">
        <w:rPr>
          <w:rFonts w:ascii="Times New Roman" w:eastAsia="Arial Unicode MS" w:hAnsi="Times New Roman" w:cs="Times New Roman"/>
          <w:color w:val="000000"/>
          <w:sz w:val="24"/>
          <w:szCs w:val="24"/>
          <w:shd w:val="clear" w:color="auto" w:fill="FFFFFF"/>
        </w:rPr>
        <w:t>Zedalis</w:t>
      </w:r>
      <w:proofErr w:type="spellEnd"/>
      <w:r w:rsidRPr="00055CB2">
        <w:rPr>
          <w:rFonts w:ascii="Times New Roman" w:eastAsia="Arial Unicode MS" w:hAnsi="Times New Roman" w:cs="Times New Roman"/>
          <w:color w:val="000000"/>
          <w:sz w:val="24"/>
          <w:szCs w:val="24"/>
          <w:shd w:val="clear" w:color="auto" w:fill="FFFFFF"/>
        </w:rPr>
        <w:t xml:space="preserve">, J., Eggebrecht, J., &amp; OpenStax </w:t>
      </w:r>
      <w:proofErr w:type="gramStart"/>
      <w:r w:rsidRPr="00055CB2">
        <w:rPr>
          <w:rFonts w:ascii="Times New Roman" w:eastAsia="Arial Unicode MS" w:hAnsi="Times New Roman" w:cs="Times New Roman"/>
          <w:color w:val="000000"/>
          <w:sz w:val="24"/>
          <w:szCs w:val="24"/>
          <w:shd w:val="clear" w:color="auto" w:fill="FFFFFF"/>
        </w:rPr>
        <w:t>College,.</w:t>
      </w:r>
      <w:proofErr w:type="gramEnd"/>
      <w:r w:rsidRPr="00055CB2">
        <w:rPr>
          <w:rFonts w:ascii="Times New Roman" w:eastAsia="Arial Unicode MS" w:hAnsi="Times New Roman" w:cs="Times New Roman"/>
          <w:color w:val="000000"/>
          <w:sz w:val="24"/>
          <w:szCs w:val="24"/>
          <w:shd w:val="clear" w:color="auto" w:fill="FFFFFF"/>
        </w:rPr>
        <w:t xml:space="preserve"> (2017). </w:t>
      </w:r>
      <w:r w:rsidRPr="00055CB2">
        <w:rPr>
          <w:rFonts w:ascii="Times New Roman" w:eastAsia="Arial Unicode MS" w:hAnsi="Times New Roman" w:cs="Times New Roman"/>
          <w:i/>
          <w:iCs/>
          <w:color w:val="000000"/>
          <w:sz w:val="24"/>
          <w:szCs w:val="24"/>
          <w:shd w:val="clear" w:color="auto" w:fill="FFFFFF"/>
        </w:rPr>
        <w:t xml:space="preserve">Biology for AP® </w:t>
      </w:r>
      <w:proofErr w:type="gramStart"/>
      <w:r w:rsidRPr="00055CB2">
        <w:rPr>
          <w:rFonts w:ascii="Times New Roman" w:eastAsia="Arial Unicode MS" w:hAnsi="Times New Roman" w:cs="Times New Roman"/>
          <w:i/>
          <w:iCs/>
          <w:color w:val="000000"/>
          <w:sz w:val="24"/>
          <w:szCs w:val="24"/>
          <w:shd w:val="clear" w:color="auto" w:fill="FFFFFF"/>
        </w:rPr>
        <w:t>courses</w:t>
      </w:r>
      <w:r w:rsidRPr="00055CB2">
        <w:rPr>
          <w:rFonts w:ascii="Times New Roman" w:eastAsia="Arial Unicode MS" w:hAnsi="Times New Roman" w:cs="Times New Roman"/>
          <w:color w:val="000000"/>
          <w:sz w:val="24"/>
          <w:szCs w:val="24"/>
          <w:shd w:val="clear" w:color="auto" w:fill="FFFFFF"/>
        </w:rPr>
        <w:t>.</w:t>
      </w:r>
      <w:r w:rsidR="00D67170" w:rsidRPr="00055CB2">
        <w:rPr>
          <w:rFonts w:ascii="Times New Roman" w:eastAsia="Arial Unicode MS" w:hAnsi="Times New Roman" w:cs="Times New Roman"/>
          <w:color w:val="000000"/>
          <w:sz w:val="24"/>
          <w:szCs w:val="24"/>
          <w:shd w:val="clear" w:color="auto" w:fill="FFFFFF"/>
        </w:rPr>
        <w:t>.</w:t>
      </w:r>
      <w:proofErr w:type="gramEnd"/>
    </w:p>
    <w:p w:rsidR="00291F00" w:rsidRPr="00055CB2" w:rsidRDefault="00291F00" w:rsidP="00D67170">
      <w:pPr>
        <w:spacing w:line="480" w:lineRule="auto"/>
        <w:jc w:val="both"/>
        <w:rPr>
          <w:rFonts w:ascii="Times New Roman" w:hAnsi="Times New Roman" w:cs="Times New Roman"/>
          <w:sz w:val="24"/>
          <w:szCs w:val="24"/>
        </w:rPr>
      </w:pPr>
      <w:r w:rsidRPr="00055CB2">
        <w:rPr>
          <w:rFonts w:ascii="Times New Roman" w:eastAsia="Arial Unicode MS" w:hAnsi="Times New Roman" w:cs="Times New Roman"/>
          <w:color w:val="000000"/>
          <w:sz w:val="24"/>
          <w:szCs w:val="24"/>
          <w:shd w:val="clear" w:color="auto" w:fill="FFFFFF"/>
        </w:rPr>
        <w:t xml:space="preserve">In </w:t>
      </w:r>
      <w:proofErr w:type="spellStart"/>
      <w:r w:rsidRPr="00055CB2">
        <w:rPr>
          <w:rFonts w:ascii="Times New Roman" w:eastAsia="Arial Unicode MS" w:hAnsi="Times New Roman" w:cs="Times New Roman"/>
          <w:color w:val="000000"/>
          <w:sz w:val="24"/>
          <w:szCs w:val="24"/>
          <w:shd w:val="clear" w:color="auto" w:fill="FFFFFF"/>
        </w:rPr>
        <w:t>Kurien</w:t>
      </w:r>
      <w:proofErr w:type="spellEnd"/>
      <w:r w:rsidRPr="00055CB2">
        <w:rPr>
          <w:rFonts w:ascii="Times New Roman" w:eastAsia="Arial Unicode MS" w:hAnsi="Times New Roman" w:cs="Times New Roman"/>
          <w:color w:val="000000"/>
          <w:sz w:val="24"/>
          <w:szCs w:val="24"/>
          <w:shd w:val="clear" w:color="auto" w:fill="FFFFFF"/>
        </w:rPr>
        <w:t>, B. T., &amp; In Scofield, R. H. (2015). </w:t>
      </w:r>
      <w:r w:rsidRPr="00055CB2">
        <w:rPr>
          <w:rFonts w:ascii="Times New Roman" w:eastAsia="Arial Unicode MS" w:hAnsi="Times New Roman" w:cs="Times New Roman"/>
          <w:i/>
          <w:iCs/>
          <w:color w:val="000000"/>
          <w:sz w:val="24"/>
          <w:szCs w:val="24"/>
          <w:shd w:val="clear" w:color="auto" w:fill="FFFFFF"/>
        </w:rPr>
        <w:t>Western blotting: Methods and protocols</w:t>
      </w:r>
      <w:r w:rsidRPr="00055CB2">
        <w:rPr>
          <w:rFonts w:ascii="Times New Roman" w:eastAsia="Arial Unicode MS" w:hAnsi="Times New Roman" w:cs="Times New Roman"/>
          <w:color w:val="000000"/>
          <w:sz w:val="24"/>
          <w:szCs w:val="24"/>
          <w:shd w:val="clear" w:color="auto" w:fill="FFFFFF"/>
        </w:rPr>
        <w:t>.</w:t>
      </w:r>
    </w:p>
    <w:sectPr w:rsidR="00291F00" w:rsidRPr="00055CB2" w:rsidSect="000F1D8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44A1" w:rsidRDefault="009444A1" w:rsidP="000F1D82">
      <w:pPr>
        <w:spacing w:after="0" w:line="240" w:lineRule="auto"/>
      </w:pPr>
      <w:r>
        <w:separator/>
      </w:r>
    </w:p>
  </w:endnote>
  <w:endnote w:type="continuationSeparator" w:id="0">
    <w:p w:rsidR="009444A1" w:rsidRDefault="009444A1" w:rsidP="000F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44A1" w:rsidRDefault="009444A1" w:rsidP="000F1D82">
      <w:pPr>
        <w:spacing w:after="0" w:line="240" w:lineRule="auto"/>
      </w:pPr>
      <w:r>
        <w:separator/>
      </w:r>
    </w:p>
  </w:footnote>
  <w:footnote w:type="continuationSeparator" w:id="0">
    <w:p w:rsidR="009444A1" w:rsidRDefault="009444A1" w:rsidP="000F1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D82" w:rsidRDefault="000F1D82">
    <w:pPr>
      <w:pStyle w:val="Header"/>
      <w:jc w:val="right"/>
    </w:pPr>
    <w:r w:rsidRPr="00455BE7">
      <w:rPr>
        <w:rFonts w:ascii="Times New Roman" w:hAnsi="Times New Roman" w:cs="Times New Roman"/>
        <w:sz w:val="24"/>
        <w:szCs w:val="24"/>
      </w:rPr>
      <w:t xml:space="preserve">Question answer assignment                                                                                </w:t>
    </w:r>
    <w:sdt>
      <w:sdtPr>
        <w:id w:val="-11627748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4A98">
          <w:rPr>
            <w:noProof/>
          </w:rPr>
          <w:t>3</w:t>
        </w:r>
        <w:r>
          <w:rPr>
            <w:noProof/>
          </w:rPr>
          <w:fldChar w:fldCharType="end"/>
        </w:r>
      </w:sdtContent>
    </w:sdt>
  </w:p>
  <w:p w:rsidR="000F1D82" w:rsidRDefault="000F1D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D82" w:rsidRDefault="000F1D82" w:rsidP="000F1D82">
    <w:pPr>
      <w:pStyle w:val="Header"/>
      <w:jc w:val="right"/>
    </w:pPr>
    <w:r w:rsidRPr="000F1D82">
      <w:rPr>
        <w:rFonts w:ascii="Times New Roman" w:hAnsi="Times New Roman" w:cs="Times New Roman"/>
        <w:sz w:val="24"/>
        <w:szCs w:val="24"/>
      </w:rPr>
      <w:t xml:space="preserve">Running head: questions answer assignment     </w:t>
    </w:r>
    <w:r w:rsidRPr="000F1D82">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zMDI0NDcwNzI1MrRU0lEKTi0uzszPAykwrAUAtPPikiwAAAA="/>
  </w:docVars>
  <w:rsids>
    <w:rsidRoot w:val="000131AA"/>
    <w:rsid w:val="000131AA"/>
    <w:rsid w:val="00055CB2"/>
    <w:rsid w:val="00083A26"/>
    <w:rsid w:val="000B03D9"/>
    <w:rsid w:val="000F1D82"/>
    <w:rsid w:val="00181AF1"/>
    <w:rsid w:val="00191745"/>
    <w:rsid w:val="00195D7E"/>
    <w:rsid w:val="0024735D"/>
    <w:rsid w:val="00257A60"/>
    <w:rsid w:val="00291F00"/>
    <w:rsid w:val="002B78AF"/>
    <w:rsid w:val="002C2C60"/>
    <w:rsid w:val="00345233"/>
    <w:rsid w:val="003C5D69"/>
    <w:rsid w:val="003F46DB"/>
    <w:rsid w:val="00455BE7"/>
    <w:rsid w:val="00466DDE"/>
    <w:rsid w:val="004A1CD2"/>
    <w:rsid w:val="004B77E2"/>
    <w:rsid w:val="00523EBA"/>
    <w:rsid w:val="00530316"/>
    <w:rsid w:val="00536BE7"/>
    <w:rsid w:val="00587834"/>
    <w:rsid w:val="005B323E"/>
    <w:rsid w:val="005B6473"/>
    <w:rsid w:val="005C4753"/>
    <w:rsid w:val="00651169"/>
    <w:rsid w:val="00672F1A"/>
    <w:rsid w:val="00686062"/>
    <w:rsid w:val="006E7FB1"/>
    <w:rsid w:val="00733DF6"/>
    <w:rsid w:val="007A413D"/>
    <w:rsid w:val="007D001F"/>
    <w:rsid w:val="008158EC"/>
    <w:rsid w:val="00882266"/>
    <w:rsid w:val="00882B2E"/>
    <w:rsid w:val="008A3784"/>
    <w:rsid w:val="008D1FFA"/>
    <w:rsid w:val="00906251"/>
    <w:rsid w:val="0091346A"/>
    <w:rsid w:val="00920C02"/>
    <w:rsid w:val="009444A1"/>
    <w:rsid w:val="0096764E"/>
    <w:rsid w:val="009B7D57"/>
    <w:rsid w:val="009D26C2"/>
    <w:rsid w:val="00AD7F16"/>
    <w:rsid w:val="00B20EE1"/>
    <w:rsid w:val="00B227AE"/>
    <w:rsid w:val="00B275BC"/>
    <w:rsid w:val="00BA4A98"/>
    <w:rsid w:val="00BE5750"/>
    <w:rsid w:val="00C77D8E"/>
    <w:rsid w:val="00C87E77"/>
    <w:rsid w:val="00C97A04"/>
    <w:rsid w:val="00D04002"/>
    <w:rsid w:val="00D10BE2"/>
    <w:rsid w:val="00D2744F"/>
    <w:rsid w:val="00D31E97"/>
    <w:rsid w:val="00D417F2"/>
    <w:rsid w:val="00D52EFD"/>
    <w:rsid w:val="00D67170"/>
    <w:rsid w:val="00DC7AB7"/>
    <w:rsid w:val="00DD18C9"/>
    <w:rsid w:val="00E01342"/>
    <w:rsid w:val="00E316E7"/>
    <w:rsid w:val="00E838C4"/>
    <w:rsid w:val="00E92D74"/>
    <w:rsid w:val="00EB1A9C"/>
    <w:rsid w:val="00F03212"/>
    <w:rsid w:val="00F341DA"/>
    <w:rsid w:val="00F41A48"/>
    <w:rsid w:val="00F47C1C"/>
    <w:rsid w:val="00F9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F3F1A1-B870-4315-B5DA-EB70BA095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5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7E"/>
    <w:rPr>
      <w:rFonts w:ascii="Tahoma" w:hAnsi="Tahoma" w:cs="Tahoma"/>
      <w:sz w:val="16"/>
      <w:szCs w:val="16"/>
    </w:rPr>
  </w:style>
  <w:style w:type="character" w:styleId="Emphasis">
    <w:name w:val="Emphasis"/>
    <w:basedOn w:val="DefaultParagraphFont"/>
    <w:uiPriority w:val="20"/>
    <w:qFormat/>
    <w:rsid w:val="005C4753"/>
    <w:rPr>
      <w:i/>
      <w:iCs/>
    </w:rPr>
  </w:style>
  <w:style w:type="paragraph" w:styleId="Header">
    <w:name w:val="header"/>
    <w:basedOn w:val="Normal"/>
    <w:link w:val="HeaderChar"/>
    <w:uiPriority w:val="99"/>
    <w:unhideWhenUsed/>
    <w:rsid w:val="000F1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D82"/>
  </w:style>
  <w:style w:type="paragraph" w:styleId="Footer">
    <w:name w:val="footer"/>
    <w:basedOn w:val="Normal"/>
    <w:link w:val="FooterChar"/>
    <w:uiPriority w:val="99"/>
    <w:unhideWhenUsed/>
    <w:rsid w:val="000F1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1806</Words>
  <Characters>10297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2019-11-19T01:58:00Z</dcterms:created>
  <dcterms:modified xsi:type="dcterms:W3CDTF">2019-11-19T01:58:00Z</dcterms:modified>
</cp:coreProperties>
</file>